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6" w:rsidRDefault="00AC2BD6" w:rsidP="00AC2BD6">
      <w:pPr>
        <w:pStyle w:val="Teksttreci20"/>
        <w:shd w:val="clear" w:color="auto" w:fill="auto"/>
        <w:spacing w:after="358" w:line="302" w:lineRule="exact"/>
        <w:jc w:val="center"/>
      </w:pPr>
      <w:r>
        <w:rPr>
          <w:color w:val="000000"/>
          <w:lang w:eastAsia="pl-PL" w:bidi="pl-PL"/>
        </w:rPr>
        <w:t>REGULAMIN  PRZEPROWADZENIA KONKURSU OFERT NA UDZIELENIE ZAMÓWIEŃ NA ŚWIADCZENIA ZDROWOTNE W NZOZ LEKARZ RODZINNY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</w:pPr>
      <w:r>
        <w:rPr>
          <w:color w:val="000000"/>
          <w:lang w:eastAsia="pl-PL" w:bidi="pl-PL"/>
        </w:rPr>
        <w:t>§1</w:t>
      </w:r>
    </w:p>
    <w:p w:rsidR="00AC2BD6" w:rsidRDefault="00AC2BD6" w:rsidP="00AC2BD6">
      <w:pPr>
        <w:spacing w:after="0" w:line="230" w:lineRule="exact"/>
        <w:jc w:val="both"/>
        <w:rPr>
          <w:color w:val="000000"/>
          <w:lang w:eastAsia="pl-PL" w:bidi="pl-PL"/>
        </w:rPr>
      </w:pPr>
    </w:p>
    <w:p w:rsidR="00AC2BD6" w:rsidRDefault="00AC2BD6" w:rsidP="00AC2BD6">
      <w:pPr>
        <w:spacing w:after="0" w:line="230" w:lineRule="exact"/>
        <w:jc w:val="both"/>
      </w:pPr>
      <w:r>
        <w:rPr>
          <w:color w:val="000000"/>
          <w:lang w:eastAsia="pl-PL" w:bidi="pl-PL"/>
        </w:rPr>
        <w:t>1. Przedmiotem konkursu ofert jest udzielenie zamówień na świadczenia zdrowotne – edukacja prozdrowotna.</w:t>
      </w:r>
    </w:p>
    <w:p w:rsidR="00AC2BD6" w:rsidRDefault="00AC2BD6" w:rsidP="00AC2BD6">
      <w:pPr>
        <w:spacing w:after="0" w:line="23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2. Świadczenia zdrowotne objęte zamówieniem udzielane będą w poradni NZOZ LEKARZ RODZINNY</w:t>
      </w:r>
    </w:p>
    <w:p w:rsidR="00AC2BD6" w:rsidRDefault="00AC2BD6" w:rsidP="00AC2BD6">
      <w:pPr>
        <w:spacing w:after="0" w:line="230" w:lineRule="exact"/>
        <w:jc w:val="both"/>
        <w:rPr>
          <w:color w:val="000000"/>
          <w:lang w:eastAsia="pl-PL" w:bidi="pl-PL"/>
        </w:rPr>
      </w:pP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§2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</w:pPr>
    </w:p>
    <w:p w:rsidR="00AC2BD6" w:rsidRDefault="00AC2BD6" w:rsidP="00AC2BD6">
      <w:pPr>
        <w:spacing w:after="0" w:line="230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 konkursu ofert mogą przystąpić lekarze prowadzący indywidualną praktykę oraz inne osoby wykonujące zawód medyczny w ramach działalności gospodarczej</w:t>
      </w:r>
    </w:p>
    <w:p w:rsidR="00AC2BD6" w:rsidRDefault="00AC2BD6" w:rsidP="00AC2BD6">
      <w:pPr>
        <w:spacing w:after="0" w:line="230" w:lineRule="exact"/>
        <w:jc w:val="both"/>
        <w:rPr>
          <w:color w:val="000000"/>
          <w:lang w:eastAsia="pl-PL" w:bidi="pl-PL"/>
        </w:rPr>
      </w:pP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§3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</w:pPr>
    </w:p>
    <w:p w:rsidR="00AC2BD6" w:rsidRDefault="00AC2BD6" w:rsidP="00AC2BD6">
      <w:pPr>
        <w:spacing w:after="268" w:line="230" w:lineRule="exact"/>
        <w:jc w:val="both"/>
        <w:rPr>
          <w:rStyle w:val="Teksttreci"/>
          <w:rFonts w:eastAsiaTheme="minorHAnsi"/>
        </w:rPr>
      </w:pPr>
      <w:r>
        <w:rPr>
          <w:color w:val="000000"/>
          <w:lang w:eastAsia="pl-PL" w:bidi="pl-PL"/>
        </w:rPr>
        <w:t xml:space="preserve">Ogłoszenie o konkursie zamieszcza się na stronie internetowej </w:t>
      </w:r>
      <w:hyperlink r:id="rId5" w:history="1">
        <w:r>
          <w:rPr>
            <w:rStyle w:val="Hipercze"/>
          </w:rPr>
          <w:t>www.spzoz.zgorzelec.pl</w:t>
        </w:r>
      </w:hyperlink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lang w:eastAsia="pl-PL" w:bidi="pl-PL"/>
        </w:rPr>
      </w:pPr>
      <w:r>
        <w:rPr>
          <w:color w:val="000000"/>
          <w:lang w:eastAsia="pl-PL" w:bidi="pl-PL"/>
        </w:rPr>
        <w:t>§4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</w:pPr>
    </w:p>
    <w:p w:rsidR="00AC2BD6" w:rsidRDefault="00AC2BD6" w:rsidP="00AC2BD6">
      <w:pPr>
        <w:spacing w:after="74" w:line="230" w:lineRule="exact"/>
        <w:ind w:left="100"/>
        <w:jc w:val="both"/>
      </w:pPr>
      <w:r>
        <w:rPr>
          <w:color w:val="000000"/>
          <w:lang w:eastAsia="pl-PL" w:bidi="pl-PL"/>
        </w:rPr>
        <w:t>Oferta powinna zawierać:</w:t>
      </w:r>
    </w:p>
    <w:p w:rsidR="00AC2BD6" w:rsidRDefault="00AC2BD6" w:rsidP="00AC2BD6">
      <w:pPr>
        <w:spacing w:after="0" w:line="230" w:lineRule="exact"/>
        <w:ind w:left="100"/>
        <w:jc w:val="both"/>
      </w:pPr>
      <w:r>
        <w:rPr>
          <w:color w:val="000000"/>
          <w:lang w:eastAsia="pl-PL" w:bidi="pl-PL"/>
        </w:rPr>
        <w:t>1. Dane o oferencie - imię i nazwisko i inne dane (zawarte w formularzu oferty),</w:t>
      </w:r>
    </w:p>
    <w:p w:rsidR="00AC2BD6" w:rsidRDefault="00AC2BD6" w:rsidP="00AC2BD6">
      <w:pPr>
        <w:spacing w:after="0" w:line="245" w:lineRule="exact"/>
        <w:ind w:left="100"/>
        <w:jc w:val="both"/>
      </w:pPr>
      <w:r>
        <w:rPr>
          <w:color w:val="000000"/>
          <w:lang w:eastAsia="pl-PL" w:bidi="pl-PL"/>
        </w:rPr>
        <w:t>2. Oświadczenie o ubezpieczeniu od odpowiedzialności cywilnej,</w:t>
      </w:r>
    </w:p>
    <w:p w:rsidR="00AC2BD6" w:rsidRDefault="00AC2BD6" w:rsidP="00AC2BD6">
      <w:pPr>
        <w:spacing w:after="0" w:line="245" w:lineRule="exact"/>
        <w:ind w:left="360" w:right="20" w:hanging="280"/>
      </w:pPr>
      <w:r>
        <w:rPr>
          <w:color w:val="000000"/>
          <w:lang w:eastAsia="pl-PL" w:bidi="pl-PL"/>
        </w:rPr>
        <w:t>3. Określenie miejsca udzielania świadczeń zdrowotnych, proponowaną kwotę należności za realizację zakresu zamówień,</w:t>
      </w:r>
    </w:p>
    <w:p w:rsidR="00AC2BD6" w:rsidRDefault="00AC2BD6" w:rsidP="00AC2BD6">
      <w:pPr>
        <w:spacing w:after="0" w:line="288" w:lineRule="exact"/>
        <w:ind w:left="100"/>
        <w:jc w:val="both"/>
      </w:pPr>
      <w:r>
        <w:rPr>
          <w:color w:val="000000"/>
          <w:lang w:eastAsia="pl-PL" w:bidi="pl-PL"/>
        </w:rPr>
        <w:t>4. Propozycję sugerowanego czasu trwania umowy,</w:t>
      </w:r>
    </w:p>
    <w:p w:rsidR="00AC2BD6" w:rsidRDefault="00AC2BD6" w:rsidP="00AC2BD6">
      <w:pPr>
        <w:spacing w:after="0" w:line="288" w:lineRule="exact"/>
        <w:ind w:left="100"/>
        <w:jc w:val="both"/>
      </w:pPr>
      <w:r>
        <w:rPr>
          <w:color w:val="000000"/>
          <w:lang w:eastAsia="pl-PL" w:bidi="pl-PL"/>
        </w:rPr>
        <w:t>5. Oświadczenie oferenta o zapoznaniu się z treścią ogłoszenia i projektu umowy ,</w:t>
      </w:r>
    </w:p>
    <w:p w:rsidR="00AC2BD6" w:rsidRDefault="00AC2BD6" w:rsidP="00AC2BD6">
      <w:pPr>
        <w:spacing w:after="166" w:line="288" w:lineRule="exact"/>
        <w:ind w:left="100"/>
        <w:jc w:val="both"/>
      </w:pPr>
      <w:r>
        <w:rPr>
          <w:color w:val="000000"/>
          <w:lang w:eastAsia="pl-PL" w:bidi="pl-PL"/>
        </w:rPr>
        <w:t>6. Oświadczenie oferenta o zapoznaniu się z Regulaminem przeprowadzania konkursu ofert,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§5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</w:p>
    <w:p w:rsidR="00AC2BD6" w:rsidRDefault="00AC2BD6" w:rsidP="00AC2BD6">
      <w:pPr>
        <w:spacing w:after="0" w:line="241" w:lineRule="exact"/>
        <w:ind w:left="284" w:right="20" w:hanging="284"/>
      </w:pPr>
      <w:r>
        <w:rPr>
          <w:color w:val="000000"/>
          <w:lang w:eastAsia="pl-PL" w:bidi="pl-PL"/>
        </w:rPr>
        <w:t>1.  Komisja konkursowa, przystępując do rozstrzygnięcia konkursu ofert, dokonuje kolejno następujących czynności: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77" w:lineRule="exact"/>
        <w:ind w:left="709" w:hanging="400"/>
      </w:pPr>
      <w:r>
        <w:rPr>
          <w:color w:val="000000"/>
          <w:lang w:eastAsia="pl-PL" w:bidi="pl-PL"/>
        </w:rPr>
        <w:t xml:space="preserve"> stwierdza prawidłowość ogłoszenia konkursu oraz liczbę otrzymanych ofert,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77" w:lineRule="exact"/>
        <w:ind w:left="709" w:hanging="400"/>
      </w:pPr>
      <w:r>
        <w:rPr>
          <w:color w:val="000000"/>
          <w:lang w:eastAsia="pl-PL" w:bidi="pl-PL"/>
        </w:rPr>
        <w:t xml:space="preserve"> ustala, które oferty wpłynęły w terminie,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77" w:lineRule="exact"/>
        <w:ind w:left="709" w:hanging="400"/>
      </w:pPr>
      <w:r>
        <w:rPr>
          <w:color w:val="000000"/>
          <w:lang w:eastAsia="pl-PL" w:bidi="pl-PL"/>
        </w:rPr>
        <w:t xml:space="preserve"> otwiera koperty z ofertami,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77" w:lineRule="exact"/>
        <w:ind w:left="709" w:hanging="400"/>
      </w:pPr>
      <w:r>
        <w:rPr>
          <w:color w:val="000000"/>
          <w:lang w:eastAsia="pl-PL" w:bidi="pl-PL"/>
        </w:rPr>
        <w:t xml:space="preserve"> ustala, które z ofert spełniają warunki określone w § 4,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52" w:lineRule="exact"/>
        <w:ind w:left="709" w:right="620" w:hanging="400"/>
      </w:pPr>
      <w:r>
        <w:rPr>
          <w:color w:val="000000"/>
          <w:lang w:eastAsia="pl-PL" w:bidi="pl-PL"/>
        </w:rPr>
        <w:t xml:space="preserve"> odrzuca oferty nie odpowiadające warunkom określonym w § 4 lub zgłoszone po wyznaczonym terminie,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52" w:lineRule="exact"/>
        <w:ind w:left="709" w:right="620" w:hanging="400"/>
      </w:pPr>
      <w:r>
        <w:rPr>
          <w:color w:val="000000"/>
          <w:lang w:eastAsia="pl-PL" w:bidi="pl-PL"/>
        </w:rPr>
        <w:t xml:space="preserve"> ogłasza oferentom, które z ofert spełniają warunki określone w § 4, a które zostały odrzucone,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30" w:lineRule="exact"/>
        <w:ind w:left="709" w:hanging="400"/>
      </w:pPr>
      <w:r>
        <w:rPr>
          <w:color w:val="000000"/>
          <w:lang w:eastAsia="pl-PL" w:bidi="pl-PL"/>
        </w:rPr>
        <w:t xml:space="preserve"> przyjmuje do protokołu wyjaśnienia i oświadczenia zgłoszone przez oferentów,</w:t>
      </w:r>
    </w:p>
    <w:p w:rsidR="00AC2BD6" w:rsidRDefault="00AC2BD6" w:rsidP="00AC2BD6">
      <w:pPr>
        <w:widowControl w:val="0"/>
        <w:numPr>
          <w:ilvl w:val="0"/>
          <w:numId w:val="1"/>
        </w:numPr>
        <w:spacing w:after="0" w:line="230" w:lineRule="exact"/>
        <w:ind w:left="709" w:hanging="400"/>
      </w:pPr>
      <w:r>
        <w:rPr>
          <w:color w:val="000000"/>
          <w:lang w:eastAsia="pl-PL" w:bidi="pl-PL"/>
        </w:rPr>
        <w:t xml:space="preserve"> wybiera najkorzystniejszą ofertę albo nie przyjmuje żadnej z ofert,</w:t>
      </w:r>
    </w:p>
    <w:p w:rsidR="00AC2BD6" w:rsidRDefault="00AC2BD6" w:rsidP="00AC2BD6">
      <w:pPr>
        <w:spacing w:after="299" w:line="230" w:lineRule="exact"/>
        <w:jc w:val="both"/>
      </w:pPr>
      <w:r>
        <w:rPr>
          <w:color w:val="000000"/>
          <w:lang w:eastAsia="pl-PL" w:bidi="pl-PL"/>
        </w:rPr>
        <w:t>2. Komisja konkursowa działa na posiedzeniach zamkniętych bez udziału oferentów,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§6</w:t>
      </w:r>
    </w:p>
    <w:p w:rsidR="00AC2BD6" w:rsidRDefault="00AC2BD6" w:rsidP="00AC2BD6">
      <w:pPr>
        <w:spacing w:after="0" w:line="281" w:lineRule="exact"/>
        <w:ind w:left="60"/>
        <w:jc w:val="center"/>
      </w:pPr>
    </w:p>
    <w:p w:rsidR="00AC2BD6" w:rsidRDefault="00AC2BD6" w:rsidP="00AC2BD6">
      <w:pPr>
        <w:spacing w:after="0" w:line="281" w:lineRule="exact"/>
        <w:ind w:left="426"/>
      </w:pPr>
      <w:r>
        <w:rPr>
          <w:color w:val="000000"/>
          <w:lang w:eastAsia="pl-PL" w:bidi="pl-PL"/>
        </w:rPr>
        <w:t>Z przebiegu konkursu sporządza się protokół, który powinien zawierać:</w:t>
      </w:r>
    </w:p>
    <w:p w:rsidR="00AC2BD6" w:rsidRDefault="00AC2BD6" w:rsidP="00AC2BD6">
      <w:pPr>
        <w:pStyle w:val="Akapitzlist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oznaczenie miejsca i czasu rozpoczęcia i zakończenia konkursu,</w:t>
      </w:r>
    </w:p>
    <w:p w:rsidR="00AC2BD6" w:rsidRDefault="00AC2BD6" w:rsidP="00AC2BD6">
      <w:pPr>
        <w:pStyle w:val="Akapitzlist"/>
        <w:widowControl w:val="0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imiona i nazwiska członków komisji konkursowej,</w:t>
      </w:r>
    </w:p>
    <w:p w:rsidR="00AC2BD6" w:rsidRDefault="00AC2BD6" w:rsidP="00AC2BD6">
      <w:pPr>
        <w:pStyle w:val="Akapitzlist"/>
        <w:widowControl w:val="0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wykaz zgłoszonych ofert,</w:t>
      </w:r>
    </w:p>
    <w:p w:rsidR="00AC2BD6" w:rsidRDefault="00AC2BD6" w:rsidP="00AC2BD6">
      <w:pPr>
        <w:pStyle w:val="Akapitzlist"/>
        <w:widowControl w:val="0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wykaz ofert odpowiadających warunkom określonym w konkursie,</w:t>
      </w:r>
    </w:p>
    <w:p w:rsidR="00AC2BD6" w:rsidRDefault="00AC2BD6" w:rsidP="00AC2BD6">
      <w:pPr>
        <w:pStyle w:val="Akapitzlist"/>
        <w:widowControl w:val="0"/>
        <w:numPr>
          <w:ilvl w:val="0"/>
          <w:numId w:val="2"/>
        </w:numPr>
        <w:spacing w:after="0" w:line="281" w:lineRule="exact"/>
        <w:ind w:right="800"/>
      </w:pPr>
      <w:r>
        <w:rPr>
          <w:color w:val="000000"/>
          <w:lang w:eastAsia="pl-PL" w:bidi="pl-PL"/>
        </w:rPr>
        <w:lastRenderedPageBreak/>
        <w:t>wykaz ofert nie odpowiadających warunkom określonym w konkursie lub zgłoszonych po terminie - wraz z uzasadnieniem,</w:t>
      </w:r>
    </w:p>
    <w:p w:rsidR="00AC2BD6" w:rsidRDefault="00AC2BD6" w:rsidP="00AC2BD6">
      <w:pPr>
        <w:pStyle w:val="Akapitzlist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wyjaśnienia i oświadczenia oferentów,</w:t>
      </w:r>
    </w:p>
    <w:p w:rsidR="00AC2BD6" w:rsidRDefault="00AC2BD6" w:rsidP="00AC2BD6">
      <w:pPr>
        <w:pStyle w:val="Akapitzlist"/>
        <w:widowControl w:val="0"/>
        <w:numPr>
          <w:ilvl w:val="0"/>
          <w:numId w:val="2"/>
        </w:numPr>
        <w:spacing w:after="0" w:line="281" w:lineRule="exact"/>
        <w:ind w:right="800"/>
      </w:pPr>
      <w:r>
        <w:rPr>
          <w:lang w:eastAsia="pl-PL" w:bidi="pl-PL"/>
        </w:rPr>
        <w:t>wskazanie najkorzystniejszej dla udzielającego zamówienia oferty albo stwierdzenie,</w:t>
      </w:r>
      <w:r>
        <w:rPr>
          <w:color w:val="000000"/>
          <w:lang w:eastAsia="pl-PL" w:bidi="pl-PL"/>
        </w:rPr>
        <w:t>— że żadna z ofert nie została przyjęta - wraz z uzasadnieniem,</w:t>
      </w:r>
    </w:p>
    <w:p w:rsidR="00AC2BD6" w:rsidRDefault="00AC2BD6" w:rsidP="00AC2BD6">
      <w:pPr>
        <w:pStyle w:val="Akapitzlist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ewentualne odrębne stanowisko członka komisji konkursowej,</w:t>
      </w:r>
    </w:p>
    <w:p w:rsidR="00AC2BD6" w:rsidRDefault="00AC2BD6" w:rsidP="00AC2BD6">
      <w:pPr>
        <w:pStyle w:val="Akapitzlist"/>
        <w:numPr>
          <w:ilvl w:val="0"/>
          <w:numId w:val="2"/>
        </w:numPr>
        <w:spacing w:after="0" w:line="281" w:lineRule="exact"/>
        <w:jc w:val="both"/>
      </w:pPr>
      <w:r>
        <w:rPr>
          <w:color w:val="000000"/>
          <w:lang w:eastAsia="pl-PL" w:bidi="pl-PL"/>
        </w:rPr>
        <w:t>wzmiankę o odczytaniu protokołu,</w:t>
      </w:r>
    </w:p>
    <w:p w:rsidR="00AC2BD6" w:rsidRDefault="00AC2BD6" w:rsidP="00AC2BD6">
      <w:pPr>
        <w:pStyle w:val="Akapitzlist"/>
        <w:widowControl w:val="0"/>
        <w:numPr>
          <w:ilvl w:val="0"/>
          <w:numId w:val="2"/>
        </w:numPr>
        <w:tabs>
          <w:tab w:val="left" w:pos="919"/>
        </w:tabs>
        <w:spacing w:after="212" w:line="230" w:lineRule="exact"/>
        <w:jc w:val="both"/>
      </w:pPr>
      <w:r>
        <w:rPr>
          <w:color w:val="000000"/>
          <w:lang w:eastAsia="pl-PL" w:bidi="pl-PL"/>
        </w:rPr>
        <w:t>podpisy członków komisji,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§7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jc w:val="left"/>
        <w:rPr>
          <w:color w:val="000000"/>
          <w:lang w:eastAsia="pl-PL" w:bidi="pl-PL"/>
        </w:rPr>
      </w:pPr>
    </w:p>
    <w:p w:rsidR="00AC2BD6" w:rsidRDefault="00AC2BD6" w:rsidP="00AC2BD6">
      <w:pPr>
        <w:spacing w:after="0" w:line="230" w:lineRule="exact"/>
        <w:ind w:left="6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1. Członek komisji konkursowej podlega wyłączeniu od udziału w komisji, gdy oferentem jest:</w:t>
      </w:r>
    </w:p>
    <w:p w:rsidR="00AC2BD6" w:rsidRDefault="00AC2BD6" w:rsidP="00AC2BD6">
      <w:pPr>
        <w:spacing w:after="0" w:line="230" w:lineRule="exact"/>
        <w:ind w:left="426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a) jego małżonek oraz krewny powinowaty do drugiego stopnia,</w:t>
      </w:r>
    </w:p>
    <w:p w:rsidR="00AC2BD6" w:rsidRDefault="00AC2BD6" w:rsidP="00AC2BD6">
      <w:pPr>
        <w:spacing w:after="0" w:line="230" w:lineRule="exact"/>
        <w:ind w:left="426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b) osoba związana z nim z tytułu przysposobienia, opieki lub kurateli,</w:t>
      </w:r>
    </w:p>
    <w:p w:rsidR="00AC2BD6" w:rsidRDefault="00AC2BD6" w:rsidP="00AC2BD6">
      <w:pPr>
        <w:spacing w:after="0" w:line="230" w:lineRule="exact"/>
        <w:ind w:left="426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c) osoba pozostająca wobec niego w stosunku nadrzędności służbowej.</w:t>
      </w:r>
    </w:p>
    <w:p w:rsidR="00AC2BD6" w:rsidRDefault="00AC2BD6" w:rsidP="00AC2BD6">
      <w:pPr>
        <w:spacing w:after="0" w:line="230" w:lineRule="exact"/>
        <w:ind w:left="6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2. W sytuacji, o której mowa w ust. 1., dokonuje się wyłączeniu i powołuje się nowego członka komisji konkursowej.</w:t>
      </w:r>
    </w:p>
    <w:p w:rsidR="00AC2BD6" w:rsidRDefault="00AC2BD6" w:rsidP="00AC2BD6">
      <w:pPr>
        <w:spacing w:after="0" w:line="230" w:lineRule="exact"/>
        <w:ind w:left="6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3. Komisja pisemnie zawiadamia oferentów o wynikach konkursu ,</w:t>
      </w:r>
    </w:p>
    <w:p w:rsidR="00AC2BD6" w:rsidRDefault="00AC2BD6" w:rsidP="00AC2BD6">
      <w:pPr>
        <w:spacing w:after="0" w:line="230" w:lineRule="exact"/>
        <w:ind w:left="60"/>
      </w:pP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§8</w:t>
      </w:r>
    </w:p>
    <w:p w:rsidR="00AC2BD6" w:rsidRDefault="00AC2BD6" w:rsidP="00AC2BD6">
      <w:pPr>
        <w:pStyle w:val="Nagwek230"/>
        <w:keepNext/>
        <w:keepLines/>
        <w:shd w:val="clear" w:color="auto" w:fill="auto"/>
        <w:spacing w:before="0" w:after="66" w:line="230" w:lineRule="exact"/>
        <w:ind w:right="400"/>
        <w:rPr>
          <w:color w:val="000000"/>
          <w:lang w:eastAsia="pl-PL" w:bidi="pl-PL"/>
        </w:rPr>
      </w:pPr>
    </w:p>
    <w:p w:rsidR="00AC2BD6" w:rsidRDefault="00AC2BD6" w:rsidP="00AC2BD6">
      <w:pPr>
        <w:spacing w:after="1581" w:line="241" w:lineRule="exact"/>
        <w:ind w:left="60" w:right="280"/>
      </w:pPr>
      <w:r>
        <w:rPr>
          <w:color w:val="000000"/>
          <w:lang w:eastAsia="pl-PL" w:bidi="pl-PL"/>
        </w:rPr>
        <w:t>Zawarcie umowy o udzielenie zamówień na świadczenia zdrowotne następuje na podstawie wyniku konkursu ofert .</w:t>
      </w:r>
    </w:p>
    <w:p w:rsidR="00AC2BD6" w:rsidRDefault="00AC2BD6" w:rsidP="00AC2BD6"/>
    <w:p w:rsidR="00D90A03" w:rsidRDefault="00D90A03">
      <w:bookmarkStart w:id="0" w:name="_GoBack"/>
      <w:bookmarkEnd w:id="0"/>
    </w:p>
    <w:sectPr w:rsidR="00D9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9F0"/>
    <w:multiLevelType w:val="multilevel"/>
    <w:tmpl w:val="761215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1714B1"/>
    <w:multiLevelType w:val="hybridMultilevel"/>
    <w:tmpl w:val="E5D2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F"/>
    <w:rsid w:val="00AC2BD6"/>
    <w:rsid w:val="00D90A03"/>
    <w:rsid w:val="00D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4814-DD0F-455A-B6BB-2BE6EE1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2B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2B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2BD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AC2B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BD6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3">
    <w:name w:val="Nagłówek #2 (3)_"/>
    <w:basedOn w:val="Domylnaczcionkaakapitu"/>
    <w:link w:val="Nagwek230"/>
    <w:locked/>
    <w:rsid w:val="00AC2B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AC2BD6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">
    <w:name w:val="Tekst treści"/>
    <w:basedOn w:val="Domylnaczcionkaakapitu"/>
    <w:rsid w:val="00AC2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2016-07-12T09:55:00Z</dcterms:created>
  <dcterms:modified xsi:type="dcterms:W3CDTF">2016-07-12T09:55:00Z</dcterms:modified>
</cp:coreProperties>
</file>